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58354B">
        <w:rPr>
          <w:rFonts w:ascii="Comic Sans MS" w:hAnsi="Comic Sans MS"/>
          <w:sz w:val="32"/>
          <w:szCs w:val="32"/>
        </w:rPr>
        <w:t>Oct</w:t>
      </w:r>
      <w:r w:rsidR="00B8349F">
        <w:rPr>
          <w:rFonts w:ascii="Comic Sans MS" w:hAnsi="Comic Sans MS"/>
          <w:sz w:val="32"/>
          <w:szCs w:val="32"/>
        </w:rPr>
        <w:t>.</w:t>
      </w:r>
      <w:r w:rsidR="004129BE">
        <w:rPr>
          <w:rFonts w:ascii="Comic Sans MS" w:hAnsi="Comic Sans MS"/>
          <w:sz w:val="32"/>
          <w:szCs w:val="32"/>
        </w:rPr>
        <w:t>23</w:t>
      </w:r>
      <w:r w:rsidR="004129BE">
        <w:rPr>
          <w:rFonts w:ascii="Comic Sans MS" w:hAnsi="Comic Sans MS"/>
          <w:sz w:val="32"/>
          <w:szCs w:val="32"/>
          <w:vertAlign w:val="superscript"/>
        </w:rPr>
        <w:t>rd</w:t>
      </w:r>
      <w:r w:rsidR="0058354B">
        <w:rPr>
          <w:rFonts w:ascii="Comic Sans MS" w:hAnsi="Comic Sans MS"/>
          <w:sz w:val="32"/>
          <w:szCs w:val="32"/>
        </w:rPr>
        <w:t xml:space="preserve"> </w:t>
      </w:r>
      <w:r w:rsidR="00FC27DA">
        <w:rPr>
          <w:rFonts w:ascii="Comic Sans MS" w:hAnsi="Comic Sans MS"/>
          <w:sz w:val="32"/>
          <w:szCs w:val="32"/>
        </w:rPr>
        <w:t>-</w:t>
      </w:r>
      <w:r w:rsidR="0058354B">
        <w:rPr>
          <w:rFonts w:ascii="Comic Sans MS" w:hAnsi="Comic Sans MS"/>
          <w:sz w:val="32"/>
          <w:szCs w:val="32"/>
        </w:rPr>
        <w:t xml:space="preserve"> Oct</w:t>
      </w:r>
      <w:r w:rsidR="00B70DFD">
        <w:rPr>
          <w:rFonts w:ascii="Comic Sans MS" w:hAnsi="Comic Sans MS"/>
          <w:sz w:val="32"/>
          <w:szCs w:val="32"/>
        </w:rPr>
        <w:t>.</w:t>
      </w:r>
      <w:r w:rsidR="004129BE">
        <w:rPr>
          <w:rFonts w:ascii="Comic Sans MS" w:hAnsi="Comic Sans MS"/>
          <w:sz w:val="32"/>
          <w:szCs w:val="32"/>
        </w:rPr>
        <w:t>27</w:t>
      </w:r>
      <w:bookmarkStart w:id="0" w:name="_GoBack"/>
      <w:bookmarkEnd w:id="0"/>
      <w:r w:rsidR="00CF027B" w:rsidRPr="00CF027B">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4129BE" w:rsidRDefault="004129BE" w:rsidP="00F61C6E">
            <w:pPr>
              <w:rPr>
                <w:rFonts w:ascii="Comic Sans MS" w:hAnsi="Comic Sans MS"/>
                <w:sz w:val="16"/>
                <w:szCs w:val="16"/>
              </w:rPr>
            </w:pPr>
          </w:p>
          <w:p w:rsidR="004129BE" w:rsidRPr="00B70DFD" w:rsidRDefault="004129BE"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4129BE" w:rsidRDefault="004129BE" w:rsidP="004129BE">
            <w:pPr>
              <w:jc w:val="center"/>
              <w:rPr>
                <w:rFonts w:ascii="Comic Sans MS" w:hAnsi="Comic Sans MS"/>
                <w:sz w:val="18"/>
                <w:szCs w:val="18"/>
              </w:rPr>
            </w:pPr>
            <w:r>
              <w:rPr>
                <w:rFonts w:ascii="Comic Sans MS" w:hAnsi="Comic Sans MS"/>
                <w:sz w:val="18"/>
                <w:szCs w:val="18"/>
                <w:highlight w:val="yellow"/>
              </w:rPr>
              <w:t>EM-Module 2 Lesson 3</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Pr>
                <w:rFonts w:ascii="Comic Sans MS" w:hAnsi="Comic Sans MS"/>
                <w:sz w:val="20"/>
                <w:szCs w:val="20"/>
              </w:rPr>
              <w:t xml:space="preserve">Students will be able to write and interpret numerical expressions using various visual models. We will discuss numerical form, word form, and the use of tape diagrams to solve problems. </w:t>
            </w: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5F1B2D" w:rsidRPr="000B2941" w:rsidRDefault="00B70DFD" w:rsidP="004129BE">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4129BE" w:rsidRPr="004129BE" w:rsidRDefault="004129BE" w:rsidP="004129BE">
            <w:pPr>
              <w:jc w:val="center"/>
              <w:rPr>
                <w:rFonts w:ascii="Comic Sans MS" w:hAnsi="Comic Sans MS"/>
                <w:sz w:val="17"/>
                <w:szCs w:val="17"/>
              </w:rPr>
            </w:pPr>
            <w:r w:rsidRPr="004129BE">
              <w:rPr>
                <w:rFonts w:ascii="Comic Sans MS" w:hAnsi="Comic Sans MS"/>
                <w:sz w:val="17"/>
                <w:szCs w:val="17"/>
                <w:highlight w:val="yellow"/>
              </w:rPr>
              <w:t>EM- Module 2 Lesson 4</w:t>
            </w:r>
          </w:p>
          <w:p w:rsidR="004129BE" w:rsidRDefault="004129BE" w:rsidP="004129BE">
            <w:pPr>
              <w:jc w:val="center"/>
              <w:rPr>
                <w:rFonts w:ascii="Comic Sans MS" w:hAnsi="Comic Sans MS"/>
                <w:sz w:val="18"/>
                <w:szCs w:val="18"/>
              </w:rPr>
            </w:pPr>
          </w:p>
          <w:p w:rsidR="004129BE" w:rsidRDefault="004129BE" w:rsidP="004129BE">
            <w:pPr>
              <w:rPr>
                <w:rFonts w:ascii="Comic Sans MS" w:hAnsi="Comic Sans MS"/>
                <w:sz w:val="20"/>
                <w:szCs w:val="20"/>
              </w:rPr>
            </w:pPr>
            <w:r>
              <w:rPr>
                <w:rFonts w:ascii="Comic Sans MS" w:hAnsi="Comic Sans MS"/>
                <w:sz w:val="18"/>
                <w:szCs w:val="18"/>
              </w:rPr>
              <w:t>-</w:t>
            </w:r>
            <w:r>
              <w:rPr>
                <w:rFonts w:ascii="Comic Sans MS" w:hAnsi="Comic Sans MS"/>
                <w:sz w:val="20"/>
                <w:szCs w:val="20"/>
              </w:rPr>
              <w:t xml:space="preserve">Students will convert numerical expressions into unit form as a mental strategy for multi-digit multiplication. Students will use understanding of multiplication strategies in order to multiply multi-digit equations. </w:t>
            </w: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4129BE" w:rsidRDefault="004129BE" w:rsidP="004129BE">
            <w:pPr>
              <w:rPr>
                <w:rFonts w:ascii="Comic Sans MS" w:hAnsi="Comic Sans MS"/>
                <w:sz w:val="20"/>
                <w:szCs w:val="20"/>
              </w:rPr>
            </w:pPr>
          </w:p>
          <w:p w:rsidR="004129BE" w:rsidRDefault="004129BE" w:rsidP="004129BE">
            <w:pPr>
              <w:rPr>
                <w:rFonts w:ascii="Comic Sans MS" w:hAnsi="Comic Sans MS"/>
                <w:sz w:val="18"/>
                <w:szCs w:val="18"/>
              </w:rPr>
            </w:pPr>
          </w:p>
          <w:p w:rsidR="005F1B2D" w:rsidRPr="00CF027B" w:rsidRDefault="005C2FC6" w:rsidP="004129BE">
            <w:pP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4129BE" w:rsidRDefault="004129BE" w:rsidP="004129BE">
            <w:pPr>
              <w:jc w:val="center"/>
              <w:rPr>
                <w:rFonts w:ascii="Comic Sans MS" w:hAnsi="Comic Sans MS"/>
                <w:sz w:val="18"/>
                <w:szCs w:val="18"/>
              </w:rPr>
            </w:pPr>
            <w:r>
              <w:rPr>
                <w:rFonts w:ascii="Comic Sans MS" w:hAnsi="Comic Sans MS"/>
                <w:sz w:val="18"/>
                <w:szCs w:val="18"/>
                <w:highlight w:val="yellow"/>
              </w:rPr>
              <w:t>EM-</w:t>
            </w:r>
            <w:r>
              <w:rPr>
                <w:rFonts w:ascii="Comic Sans MS" w:hAnsi="Comic Sans MS"/>
                <w:sz w:val="18"/>
                <w:szCs w:val="18"/>
                <w:highlight w:val="yellow"/>
              </w:rPr>
              <w:t>Module 2 Lesson 5</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Pr>
                <w:rFonts w:ascii="Comic Sans MS" w:hAnsi="Comic Sans MS"/>
                <w:sz w:val="18"/>
                <w:szCs w:val="18"/>
              </w:rPr>
              <w:t xml:space="preserve">This will be a two day lesson for students. We will combine both lesson 5 and 6. </w:t>
            </w:r>
            <w:r>
              <w:rPr>
                <w:rFonts w:ascii="Comic Sans MS" w:hAnsi="Comic Sans MS"/>
                <w:sz w:val="20"/>
                <w:szCs w:val="20"/>
              </w:rPr>
              <w:t>Students will work on multi digit multiplication problems using visual representations, area models, tape diagrams, etc. in order to achieve their product. They will use an algorithm to solve their problems.</w:t>
            </w:r>
          </w:p>
          <w:p w:rsidR="004129BE" w:rsidRPr="0002132F" w:rsidRDefault="004129BE" w:rsidP="004129BE">
            <w:pPr>
              <w:rPr>
                <w:rFonts w:ascii="Comic Sans MS" w:hAnsi="Comic Sans MS"/>
                <w:sz w:val="20"/>
                <w:szCs w:val="20"/>
              </w:rPr>
            </w:pP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260BC" w:rsidRDefault="001260BC" w:rsidP="004129BE">
            <w:pPr>
              <w:rPr>
                <w:rFonts w:ascii="Comic Sans MS" w:hAnsi="Comic Sans MS"/>
                <w:sz w:val="18"/>
                <w:szCs w:val="18"/>
              </w:rPr>
            </w:pPr>
          </w:p>
          <w:p w:rsidR="005F1B2D" w:rsidRPr="00445881" w:rsidRDefault="005C2FC6" w:rsidP="004129BE">
            <w:pP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4129BE" w:rsidRDefault="004129BE" w:rsidP="004129BE">
            <w:pPr>
              <w:jc w:val="center"/>
              <w:rPr>
                <w:rFonts w:ascii="Comic Sans MS" w:hAnsi="Comic Sans MS"/>
                <w:sz w:val="18"/>
                <w:szCs w:val="18"/>
              </w:rPr>
            </w:pPr>
            <w:r>
              <w:rPr>
                <w:rFonts w:ascii="Comic Sans MS" w:hAnsi="Comic Sans MS"/>
                <w:sz w:val="18"/>
                <w:szCs w:val="18"/>
                <w:highlight w:val="yellow"/>
              </w:rPr>
              <w:t>EM-</w:t>
            </w:r>
            <w:r>
              <w:rPr>
                <w:rFonts w:ascii="Comic Sans MS" w:hAnsi="Comic Sans MS"/>
                <w:sz w:val="18"/>
                <w:szCs w:val="18"/>
                <w:highlight w:val="yellow"/>
              </w:rPr>
              <w:t xml:space="preserve">Module 2 Lesson </w:t>
            </w:r>
            <w:r w:rsidRPr="005B052A">
              <w:rPr>
                <w:rFonts w:ascii="Comic Sans MS" w:hAnsi="Comic Sans MS"/>
                <w:sz w:val="18"/>
                <w:szCs w:val="18"/>
                <w:highlight w:val="yellow"/>
              </w:rPr>
              <w:t>6</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Pr>
                <w:rFonts w:ascii="Comic Sans MS" w:hAnsi="Comic Sans MS"/>
                <w:sz w:val="18"/>
                <w:szCs w:val="18"/>
              </w:rPr>
              <w:t xml:space="preserve"> </w:t>
            </w:r>
            <w:r>
              <w:rPr>
                <w:rFonts w:ascii="Comic Sans MS" w:hAnsi="Comic Sans MS"/>
                <w:sz w:val="18"/>
                <w:szCs w:val="18"/>
              </w:rPr>
              <w:t xml:space="preserve">This will be a two day lesson for students. We will combine both lesson 5 and 6. </w:t>
            </w:r>
            <w:r>
              <w:rPr>
                <w:rFonts w:ascii="Comic Sans MS" w:hAnsi="Comic Sans MS"/>
                <w:sz w:val="20"/>
                <w:szCs w:val="20"/>
              </w:rPr>
              <w:t>Students will work on multi digit multiplication problems using visual representations, area models, tape diagrams, etc. in order to achieve their product. They will use an algorithm to solve their problems.</w:t>
            </w:r>
          </w:p>
          <w:p w:rsidR="004129BE" w:rsidRPr="0002132F" w:rsidRDefault="004129BE" w:rsidP="004129BE">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F1B2D" w:rsidRPr="001260BC" w:rsidRDefault="005C2FC6" w:rsidP="001260BC">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CF027B" w:rsidP="00FC27DA">
            <w:pPr>
              <w:jc w:val="center"/>
              <w:rPr>
                <w:rFonts w:ascii="Comic Sans MS" w:hAnsi="Comic Sans MS"/>
                <w:sz w:val="18"/>
                <w:szCs w:val="18"/>
              </w:rPr>
            </w:pPr>
            <w:r>
              <w:rPr>
                <w:rFonts w:ascii="Comic Sans MS" w:hAnsi="Comic Sans MS"/>
                <w:sz w:val="18"/>
                <w:szCs w:val="18"/>
                <w:highlight w:val="yellow"/>
              </w:rPr>
              <w:t>EM-</w:t>
            </w:r>
            <w:r w:rsidR="005B052A" w:rsidRPr="005B052A">
              <w:rPr>
                <w:rFonts w:ascii="Comic Sans MS" w:hAnsi="Comic Sans MS"/>
                <w:sz w:val="18"/>
                <w:szCs w:val="18"/>
                <w:highlight w:val="yellow"/>
              </w:rPr>
              <w:t xml:space="preserve">Module 2 Lesson </w:t>
            </w:r>
            <w:r w:rsidR="004129BE" w:rsidRPr="004129BE">
              <w:rPr>
                <w:rFonts w:ascii="Comic Sans MS" w:hAnsi="Comic Sans MS"/>
                <w:sz w:val="18"/>
                <w:szCs w:val="18"/>
                <w:highlight w:val="yellow"/>
              </w:rPr>
              <w:t>7</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1260BC">
              <w:rPr>
                <w:rFonts w:ascii="Comic Sans MS" w:hAnsi="Comic Sans MS"/>
                <w:sz w:val="20"/>
                <w:szCs w:val="20"/>
              </w:rPr>
              <w:t>Students will work on multi digit multiplication problems using visual representations, area models, tape diagrams, etc. in order to achieve their product. They will use an algorithm to solve their problems.</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CCSS:5.NBT.</w:t>
            </w:r>
            <w:r w:rsidR="00277636" w:rsidRPr="00277636">
              <w:rPr>
                <w:rFonts w:ascii="Comic Sans MS" w:hAnsi="Comic Sans MS"/>
                <w:sz w:val="18"/>
                <w:szCs w:val="18"/>
                <w:highlight w:val="magenta"/>
              </w:rPr>
              <w:t>6</w:t>
            </w:r>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CCSS:5.NBT.</w:t>
            </w:r>
            <w:r w:rsidRPr="00277636">
              <w:rPr>
                <w:rFonts w:ascii="Comic Sans MS" w:hAnsi="Comic Sans MS"/>
                <w:sz w:val="18"/>
                <w:szCs w:val="18"/>
                <w:highlight w:val="magenta"/>
              </w:rPr>
              <w:t>7</w:t>
            </w:r>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9"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3"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r w:rsidRPr="00B8747A">
              <w:rPr>
                <w:rFonts w:ascii="Comic Sans MS" w:hAnsi="Comic Sans MS"/>
                <w:b/>
                <w:sz w:val="22"/>
                <w:szCs w:val="22"/>
              </w:rPr>
              <w:t>Burdin’s</w:t>
            </w:r>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RTI-M,W,F</w:t>
            </w:r>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17" w:rsidRDefault="00281517" w:rsidP="005E5AC4">
      <w:r>
        <w:separator/>
      </w:r>
    </w:p>
  </w:endnote>
  <w:endnote w:type="continuationSeparator" w:id="0">
    <w:p w:rsidR="00281517" w:rsidRDefault="00281517"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17" w:rsidRDefault="00281517" w:rsidP="005E5AC4">
      <w:r>
        <w:separator/>
      </w:r>
    </w:p>
  </w:footnote>
  <w:footnote w:type="continuationSeparator" w:id="0">
    <w:p w:rsidR="00281517" w:rsidRDefault="00281517"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77636"/>
    <w:rsid w:val="00281517"/>
    <w:rsid w:val="00283634"/>
    <w:rsid w:val="002B48A5"/>
    <w:rsid w:val="002B6140"/>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129BE"/>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6236"/>
  <w15:docId w15:val="{BDE420E3-40E0-462B-BA9B-10E7945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58B4-E465-446A-A532-0537B918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5463</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2017-10-24T13:54:00Z</dcterms:created>
  <dcterms:modified xsi:type="dcterms:W3CDTF">2017-10-24T13:54:00Z</dcterms:modified>
</cp:coreProperties>
</file>